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A562" w14:textId="77777777" w:rsidR="00B61C00" w:rsidRDefault="00B61C00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00DECF1" w14:textId="77777777" w:rsidR="005C77B0" w:rsidRDefault="00B61C00" w:rsidP="005C77B0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3161FAA4" wp14:editId="16D92B57">
            <wp:extent cx="907415" cy="723265"/>
            <wp:effectExtent l="0" t="0" r="0" b="0"/>
            <wp:docPr id="333729370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2937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734D8" w14:textId="579952E5" w:rsidR="005C77B0" w:rsidRPr="00633686" w:rsidRDefault="005C77B0" w:rsidP="005C77B0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544321DA" w14:textId="77777777" w:rsidR="005C77B0" w:rsidRPr="00633686" w:rsidRDefault="005C77B0" w:rsidP="005C77B0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ΠΕΡΙΦΕΡΕΙΑ ΑΝ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ΑΤΟΛΙΚΗΣ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ΜΑΚΕΔΟΝΙΑΣ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ΚΑΙ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ΘΡΑΚΗΣ </w:t>
      </w:r>
    </w:p>
    <w:p w14:paraId="2E768AE1" w14:textId="77777777" w:rsidR="005C77B0" w:rsidRDefault="005C77B0" w:rsidP="005C77B0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14BA95AF" w14:textId="77777777" w:rsidR="005C77B0" w:rsidRPr="005C77B0" w:rsidRDefault="005C77B0" w:rsidP="005C77B0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B977CE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ΤΜΗΜΑ ΠΟΛΙΤΙΚΗΣ ΠΡΟΣΤΑΣΙΑΣ ΠΕ ΕΒΡΟΥ</w:t>
      </w:r>
      <w:r w:rsidRPr="005C77B0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</w:t>
      </w:r>
    </w:p>
    <w:p w14:paraId="2C4E0D85" w14:textId="77777777" w:rsidR="00B61C00" w:rsidRDefault="00B61C00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1A6C916" w14:textId="52DABB3E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1102B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</w:t>
      </w:r>
      <w:r w:rsidR="00B61C0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6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102B6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14:paraId="767CF208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25E2115" w14:textId="0E3D92A5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B61C0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61C00" w:rsidRPr="00B61C0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Τετάρτη </w:t>
      </w:r>
      <w:r w:rsidR="001102B6" w:rsidRPr="00B61C0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</w:t>
      </w:r>
      <w:r w:rsidR="00B61C00" w:rsidRPr="00B61C0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6</w:t>
      </w:r>
      <w:r w:rsidRPr="00B61C0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102B6" w:rsidRPr="00B61C0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Pr="00B61C0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B61C0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</w:t>
      </w:r>
      <w:r w:rsidR="001102B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ς</w:t>
      </w:r>
      <w:r w:rsidR="00B61C0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B61C00" w:rsidRPr="00B61C0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Σαμοθράκης</w:t>
      </w:r>
      <w:r w:rsidR="001102B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</w:t>
      </w:r>
      <w:proofErr w:type="spellEnd"/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61C0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΄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αριθ</w:t>
      </w:r>
      <w:r w:rsidR="00B61C0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μ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</w:t>
      </w:r>
      <w:r w:rsidR="00B61C0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 w:rsidR="00B61C0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61C0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Τετάρτης</w:t>
      </w:r>
      <w:r w:rsidR="001102B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1</w:t>
      </w:r>
      <w:r w:rsidR="00B61C0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6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1102B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6027F18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7769AC25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14:paraId="2BFDFB0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49952C6A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7AD5C0A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Κομάρου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14:paraId="754D11A5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28AAE9B1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14:paraId="3FD403CB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43A24A14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4400B81C" w14:textId="77777777" w:rsidR="00A85AB1" w:rsidRPr="00B61C00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-Πεύκων-Λουτρού </w:t>
      </w:r>
    </w:p>
    <w:p w14:paraId="5DA6A6EB" w14:textId="77777777" w:rsidR="00B61C00" w:rsidRPr="00533CA1" w:rsidRDefault="00B61C00" w:rsidP="00B61C00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14:paraId="7F990E78" w14:textId="17B8F4BE" w:rsidR="00B61C00" w:rsidRPr="00B61C00" w:rsidRDefault="00B61C00" w:rsidP="00B61C00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33B27305" w14:textId="0CBA2137" w:rsidR="00A85AB1" w:rsidRDefault="001102B6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Β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5FF345FB" w14:textId="77777777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Σουφλίου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14:paraId="12D08CBF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5B437B4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56CE7E9" w14:textId="77777777" w:rsidR="00B61C00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4DC9D6B2" w14:textId="6B2F6CC6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2042ABE6" w14:textId="77777777" w:rsidR="00B61C00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100FA5A" w14:textId="77777777" w:rsidR="00B61C00" w:rsidRDefault="00B61C0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33E507E" w14:textId="1B7EFF32" w:rsidR="00FE65F2" w:rsidRPr="00B61C00" w:rsidRDefault="00B61C00" w:rsidP="00DA5234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61C00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lastRenderedPageBreak/>
        <w:t>Η απόφαση ισχύει ωσότου  η κατηγορία κινδύνου εκδήλωσης πυρκαγιάς πέσει στο 2 ανά δασαρχείο.</w:t>
      </w:r>
      <w:r w:rsidR="00A85AB1" w:rsidRPr="00B61C00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</w:t>
      </w:r>
      <w:r w:rsidR="00A525C0" w:rsidRPr="00B61C00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                                                                        </w:t>
      </w:r>
    </w:p>
    <w:p w14:paraId="18A2C5D9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78CC1AA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DEE7A90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0E0BE0E" w14:textId="77777777"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6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38E7ED76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B61C0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06977058">
    <w:abstractNumId w:val="1"/>
  </w:num>
  <w:num w:numId="2" w16cid:durableId="2048606231">
    <w:abstractNumId w:val="0"/>
  </w:num>
  <w:num w:numId="3" w16cid:durableId="1579051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E42EF"/>
    <w:rsid w:val="000F1123"/>
    <w:rsid w:val="001102B6"/>
    <w:rsid w:val="0016020E"/>
    <w:rsid w:val="001E7772"/>
    <w:rsid w:val="0022451A"/>
    <w:rsid w:val="00256035"/>
    <w:rsid w:val="00263197"/>
    <w:rsid w:val="00264058"/>
    <w:rsid w:val="002C7809"/>
    <w:rsid w:val="002D1D0E"/>
    <w:rsid w:val="002D1DA9"/>
    <w:rsid w:val="00316F30"/>
    <w:rsid w:val="00356D75"/>
    <w:rsid w:val="0038135D"/>
    <w:rsid w:val="003B7CFF"/>
    <w:rsid w:val="00432708"/>
    <w:rsid w:val="004C54B8"/>
    <w:rsid w:val="00542327"/>
    <w:rsid w:val="0059524A"/>
    <w:rsid w:val="005961E3"/>
    <w:rsid w:val="005C77B0"/>
    <w:rsid w:val="00612C44"/>
    <w:rsid w:val="00744690"/>
    <w:rsid w:val="007754FF"/>
    <w:rsid w:val="007A467B"/>
    <w:rsid w:val="007E512C"/>
    <w:rsid w:val="00815BFE"/>
    <w:rsid w:val="008B5955"/>
    <w:rsid w:val="00974D73"/>
    <w:rsid w:val="0098706C"/>
    <w:rsid w:val="009F4DC9"/>
    <w:rsid w:val="00A15F09"/>
    <w:rsid w:val="00A331CF"/>
    <w:rsid w:val="00A525C0"/>
    <w:rsid w:val="00A5632B"/>
    <w:rsid w:val="00A85AB1"/>
    <w:rsid w:val="00AE4BF6"/>
    <w:rsid w:val="00B107B7"/>
    <w:rsid w:val="00B172D4"/>
    <w:rsid w:val="00B23064"/>
    <w:rsid w:val="00B61C00"/>
    <w:rsid w:val="00B659A0"/>
    <w:rsid w:val="00B8182F"/>
    <w:rsid w:val="00BA1FFB"/>
    <w:rsid w:val="00C443A2"/>
    <w:rsid w:val="00C94EDD"/>
    <w:rsid w:val="00D05387"/>
    <w:rsid w:val="00DA4275"/>
    <w:rsid w:val="00DA5234"/>
    <w:rsid w:val="00DB1467"/>
    <w:rsid w:val="00DC0A6D"/>
    <w:rsid w:val="00DF30C3"/>
    <w:rsid w:val="00DF7AB5"/>
    <w:rsid w:val="00E00EA3"/>
    <w:rsid w:val="00E167F3"/>
    <w:rsid w:val="00E874AF"/>
    <w:rsid w:val="00F228C9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AEAF"/>
  <w15:docId w15:val="{F61F749C-2031-4B6E-A1A0-8A1082D4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vgeia.gov.gr/doc/%CE%A1%CE%9F8%CE%A37%CE%9B%CE%92-76%CE%A8?inline=tr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2023-08-15T08:36:00Z</dcterms:created>
  <dcterms:modified xsi:type="dcterms:W3CDTF">2023-08-15T08:47:00Z</dcterms:modified>
</cp:coreProperties>
</file>