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065" w:type="dxa"/>
        <w:tblInd w:w="-9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4"/>
        <w:gridCol w:w="2578"/>
        <w:gridCol w:w="70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>
              <w:rPr>
                <w:rFonts w:cs="Calibri"/>
                <w:color w:val="333333"/>
                <w:sz w:val="18"/>
                <w:szCs w:val="18"/>
              </w:rPr>
              <w:t>ΕΝΙΑΙΟ ΣΥΣΤΗΜΑ ΠΑΡΑΚΟΛΟΥΘΗΣΗΣ ΔΕΙΚΤΩΝ ΕΠΑ 2021-2025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00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ΔΕΛΤΙΟ ΤΑΥΤΟΤΗΤΑΣ ΔΕΙΚΤΗ (INDICATOR FICHE)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ΕΚΔΟΣΗ 1 - [ΣΕΠΤΕΜΒΡΙΟΣ 2021]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nil"/>
            </w:tcBorders>
            <w:shd w:val="solid" w:color="969696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single" w:color="auto" w:sz="2" w:space="0"/>
              <w:left w:val="nil"/>
              <w:bottom w:val="single" w:color="auto" w:sz="2" w:space="0"/>
              <w:right w:val="nil"/>
            </w:tcBorders>
            <w:shd w:val="solid" w:color="969696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ΜΕΤΡΗΣΗ - ΜΕΘΟΔΟΛΟΓΙΑ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nil"/>
            </w:tcBorders>
            <w:shd w:val="solid" w:color="969696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ΑΡΙΘΜΟΣ CCI ΤΟΥ Ε.Π.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Περιφερειακό Πρόγραμμα Ανάπτυξης Περιφέρειας Θεσσαλίας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ΔΕΙΚΤΗ ΣΤΗ ΒΑΣΗ ΔΕΔΟΜΕΝΩΝ SFC2014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cs="Calibri"/>
                <w:iCs/>
                <w:sz w:val="18"/>
                <w:szCs w:val="18"/>
                <w:lang w:val="en-US"/>
              </w:rPr>
            </w:pPr>
            <w:r>
              <w:rPr>
                <w:rFonts w:hint="default" w:cs="Calibri"/>
                <w:iCs/>
                <w:sz w:val="18"/>
                <w:szCs w:val="18"/>
                <w:lang w:val="en-US"/>
              </w:rPr>
              <w:t>EPA011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ΟΝΟΜΑΣΙΑ ΔΕΙΚΤΗ ΣΤΗ ΒΑΣΗ ΔΕΔΟΜΕΝΩΝ SFC2014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MT" w:hAnsi="ArialMT" w:cs="ArialMT"/>
                <w:sz w:val="19"/>
                <w:szCs w:val="19"/>
                <w:lang w:eastAsia="el-GR"/>
              </w:rPr>
              <w:t>Αριθμός αλιευτικών καταφυγίων των οποίων αναπτύσσονται οι υποδομές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ΜΟΝΑΔΙΚΟΥ ΔΕΙΚΤΗ ΣΤΟ ΟΠΣ ΕΣΠΑ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solid" w:color="C0C0C0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cs="Calibri"/>
                <w:i/>
                <w:iCs/>
                <w:color w:val="808080"/>
                <w:sz w:val="18"/>
                <w:szCs w:val="18"/>
                <w:lang w:val="el-GR"/>
              </w:rPr>
            </w:pPr>
            <w:r>
              <w:rPr>
                <w:rFonts w:hint="default" w:cs="Calibri"/>
                <w:i/>
                <w:iCs/>
                <w:color w:val="808080"/>
                <w:sz w:val="18"/>
                <w:szCs w:val="18"/>
                <w:lang w:val="el-GR"/>
              </w:rPr>
              <w:t>60011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ΜΟΝΑΔΑ ΜΕΤΡΗΣΗΣ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A6A6A6"/>
                <w:sz w:val="18"/>
                <w:szCs w:val="18"/>
              </w:rPr>
            </w:pPr>
            <w:r>
              <w:rPr>
                <w:rFonts w:ascii="ArialMT" w:hAnsi="ArialMT" w:cs="ArialMT"/>
                <w:sz w:val="19"/>
                <w:szCs w:val="19"/>
                <w:lang w:eastAsia="el-GR"/>
              </w:rPr>
              <w:t>ΑΡΙΘΜΟΣ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434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ΕΙΔΟΣ ΔΕΙΚΤΗ 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>
              <w:rPr>
                <w:rFonts w:cs="Calibri"/>
                <w:color w:val="333333"/>
                <w:sz w:val="18"/>
                <w:szCs w:val="18"/>
              </w:rPr>
              <w:t xml:space="preserve">ΔΕΙΚΤΗΣ ΕΚΡΟΗΣ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ΤΑΜΕΙΟ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>
              <w:rPr>
                <w:rFonts w:cs="Calibri"/>
                <w:color w:val="333333"/>
                <w:sz w:val="18"/>
                <w:szCs w:val="18"/>
              </w:rPr>
              <w:t>ΠΔΕ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ΟΡΙΣΜΟΣ &amp; ΜΕΘΟΔΟΣ ΜΕΤΡΗΣΗΣ 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i/>
                <w:color w:val="808080"/>
                <w:sz w:val="18"/>
                <w:szCs w:val="18"/>
              </w:rPr>
            </w:pPr>
            <w:r>
              <w:rPr>
                <w:rFonts w:eastAsia="sans-serif"/>
                <w:sz w:val="18"/>
                <w:szCs w:val="18"/>
              </w:rPr>
              <w:t xml:space="preserve">Τα δεδομένα αφορούν σε απόλυτο αριθμό έργων </w:t>
            </w:r>
            <w:r>
              <w:rPr>
                <w:rFonts w:eastAsia="SimSun"/>
                <w:sz w:val="18"/>
                <w:szCs w:val="18"/>
              </w:rPr>
              <w:t xml:space="preserve">κατασκευής, συντήρησης, επισκευής και αποκατάστασης και βελτίωσης αλιευτικών καταφυγίων .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ΠΑΡΑΤΗΡΗΣΕΙΣ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color w:val="808080"/>
                <w:sz w:val="18"/>
                <w:szCs w:val="18"/>
              </w:rPr>
            </w:pPr>
            <w:r>
              <w:rPr>
                <w:rFonts w:cs="Calibri"/>
                <w:i/>
                <w:color w:val="808080"/>
                <w:sz w:val="18"/>
                <w:szCs w:val="18"/>
              </w:rPr>
              <w:t>[ΕΛΛΕΙΨΕΙΣ, ΕΠΙΣΗΜΑΝΣΕΙΣ, ΕΙΔΙΚΕΣ ΑΠΑΙΤΗΣΕΙΣ ΠΑΡΑΚΟΛΟΥΘΗΣΗΣ ΚΛΠ]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78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ΤΩΝ ΤΙΜΩΝ ΒΑΣΗΣ Ή΄/ΚΑΙ ΣΤΟΧΟΥ ΤΗΣ ΔΙΑΧΕΙΡΙΣΤΙΚΗΣ ΑΡΧΗΣ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80808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808080"/>
                <w:sz w:val="18"/>
                <w:szCs w:val="18"/>
              </w:rPr>
            </w:pPr>
            <w:r>
              <w:rPr>
                <w:rFonts w:cs="Calibri"/>
                <w:color w:val="808080"/>
                <w:sz w:val="18"/>
                <w:szCs w:val="18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ΤΟΥ ΜΟΝΑΔΙΑΙΟΥ ΚΟΣΤΟΥΣ ΤΗΣ ΔΙΑΧΕΙΡΙΣΤΙΚΗΣ ΑΡΧΗΣ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434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ΤΡΟΠΟΣ ΔΙΑΜΟΡΦΩΣΗΣ ΤΙΜΗΣ ΣΤΟΧΟΥ ΑΠΟ ΤΟ ΔΥΝΗΤΙΚΟ ΔΙΚΑΙΟΥΧΟ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after="0" w:line="240" w:lineRule="auto"/>
              <w:rPr>
                <w:i/>
                <w:iCs/>
                <w:color w:val="A6A6A6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Ορίζεται στο Τεχνικό Δελτίο του Δικαιούχου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434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ΣΥΧΝΟΤΗΤΑ ΑΝΑΦΟΡΑΣ ΣΤΗ ΔΙΑΧΕΙΡΙΣΤΙΚΗ ΑΡΧΗ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after="0" w:line="240" w:lineRule="auto"/>
              <w:rPr>
                <w:iCs/>
                <w:color w:val="808080"/>
                <w:sz w:val="18"/>
                <w:szCs w:val="18"/>
              </w:rPr>
            </w:pPr>
            <w:r>
              <w:rPr>
                <w:iCs/>
                <w:color w:val="000000"/>
                <w:sz w:val="18"/>
                <w:szCs w:val="18"/>
              </w:rPr>
              <w:t>Ετήσια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ΠΟΣΟΤΙΚΟΣ/ ΠΟΙΟΤΙΚΟΣ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after="0" w:line="240" w:lineRule="auto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Ποσοτικός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ΕΠΙΠΕΔΑ ΑΘΡΟΙΣΗΣ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18"/>
                <w:szCs w:val="18"/>
              </w:rPr>
            </w:pPr>
            <w:r>
              <w:rPr>
                <w:rFonts w:cs="Calibri"/>
                <w:i/>
                <w:iCs/>
                <w:color w:val="808080"/>
                <w:sz w:val="18"/>
                <w:szCs w:val="18"/>
              </w:rPr>
              <w:t xml:space="preserve">ΣΥΜΠΛΗΡΩΝΕΤΑΙ ΜΟΝΟ ΓΙΑ ΔΕΙΚΤΕΣ ΠΟΥ ΈΧΟΥΝ ΧΑΡΑΚΤΗΡΙΣΤΕΙ ΣΤΟ </w:t>
            </w:r>
            <w:r>
              <w:rPr>
                <w:rFonts w:cs="Calibri"/>
                <w:b/>
                <w:bCs/>
                <w:i/>
                <w:iCs/>
                <w:color w:val="808080"/>
                <w:sz w:val="18"/>
                <w:szCs w:val="18"/>
              </w:rPr>
              <w:t>ΠΕΔΙΟ 14</w:t>
            </w:r>
            <w:r>
              <w:rPr>
                <w:rFonts w:cs="Calibri"/>
                <w:i/>
                <w:iCs/>
                <w:color w:val="808080"/>
                <w:sz w:val="18"/>
                <w:szCs w:val="18"/>
              </w:rPr>
              <w:t xml:space="preserve"> ΩΣ ΠΟΣΟΤΙΚΟΙ ΑΘΡΟΙΖΟΜΕΝΟΙ                                                                                                                                              [ΤΟ ΠΕΔΙΟ ΜΠΟΡΕΙ ΝΑ ΛΑΒΕΙ ΠΟΛΛΑΠΛΕΣ ΤΙΜΕΣ]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ΑΘΡΟΙΣΗ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A6A6A6"/>
                <w:sz w:val="18"/>
                <w:szCs w:val="18"/>
              </w:rPr>
            </w:pPr>
            <w:r>
              <w:rPr>
                <w:rFonts w:cs="Calibri"/>
                <w:i/>
                <w:iCs/>
                <w:color w:val="A6A6A6"/>
                <w:sz w:val="18"/>
                <w:szCs w:val="18"/>
              </w:rPr>
              <w:t>από το επίπεδο της πράξης ως το επίπεδο του ΑΠ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ΑΠΟΘΗΚΕΥΣΗ ΔΕΔΟΜΕΝΩΝ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ΠΣ ΕΠΑ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434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ΕΠΙΣΥΝΑΠΤΟΜΕΝΑ ΑΡΧΕΙΑ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  <w:r>
              <w:rPr>
                <w:i/>
                <w:iCs/>
                <w:color w:val="808080"/>
                <w:sz w:val="18"/>
                <w:szCs w:val="18"/>
              </w:rPr>
              <w:t>[ΠΧ ΠΙΝΑΚΕΣ, ΜΕΘΟΔΟΛΟΓΙΑ ΔΕΙΓΜΑΤΟΛΗΨΙΑΣ ΚΛΠ]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ΑΡΜΟΔΙΟΣ ΦΟΡΕΑΣ ΣΥΛΛΟΓΗΣ ΤΩΝ ΠΡΩΤΟΓΕΝΩΝ ΣΤΟΙΧΕΙΩΝ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  <w:u w:val="single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ΠΣ ΕΠΑ</w:t>
            </w:r>
            <w:r>
              <w:rPr>
                <w:i/>
                <w:iCs/>
                <w:color w:val="80808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ΥΠΕΥΘΥΝΟ ΣΤΕΛΕΧΟΣ ΤΟΥ ΑΡΜΟΔΙΟΥ ΦΟΡΕΑ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</w:pPr>
            <w:r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  <w:t>ΣΥΜΠΛΗΡΩΝΕΤΑΙ ΜΟΝΟ ΓΙΑ ΤΟΥΣ ΔΕΙΚΤΕΣ ΑΠΟΤΕΛΕΣΜΑΤΟΣ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WEBLINK ΔΕΔΟΜΕΝΩΝ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A6A6A6"/>
                <w:sz w:val="18"/>
                <w:szCs w:val="18"/>
              </w:rPr>
            </w:pPr>
            <w:r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  <w:t>ΣΥΜΠΛΗΡΩΝΕΤΑΙ ΜΟΝΟ ΓΙΑ ΤΟΥΣ ΔΕΙΚΤΕΣ ΑΠΟΤΕΛΕΣΜΑΤΟΣ:</w:t>
            </w:r>
            <w:r>
              <w:rPr>
                <w:rFonts w:cs="Calibri"/>
                <w:i/>
                <w:iCs/>
                <w:color w:val="A6A6A6"/>
                <w:sz w:val="18"/>
                <w:szCs w:val="18"/>
              </w:rPr>
              <w:t xml:space="preserve"> ΠΑΡΕΧΕΤΑΙ Η ΗΛΕΚΤΡΟΝΙΚΗ ΔΙΕΥΘΥΝΣΗ ΠΟΥ ΕΝΔΕΧΟΜΕΝΩΣ ΝΑ ΔΗΜΟΣΙΕΥΟΝΤΑΙ ΤΑ ΣΤΟΙΧΕΙΑ.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ΣΤΟΙΧΕΙΑ ΥΠΕΥΘΥΝΟΥ ΣΥΜΠΛΗΡΩΣΗΣ ΤΟΥ ΔΕΛΤΙΟΥ ΤΑΥΤΟΤΗΤΑΣ ΔΕΙΚΤΗ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333333"/>
                <w:sz w:val="18"/>
                <w:szCs w:val="18"/>
              </w:rPr>
            </w:pPr>
            <w:r>
              <w:rPr>
                <w:rFonts w:cs="Calibri"/>
                <w:i/>
                <w:iCs/>
                <w:color w:val="333333"/>
                <w:sz w:val="18"/>
                <w:szCs w:val="18"/>
              </w:rPr>
              <w:t xml:space="preserve">Κωνσταντία Βρακοπούλου, Δ/νση Αναπτυξιακού Προγραμματισμού Περιφέρειας Θεσσαλίας, </w:t>
            </w:r>
            <w:r>
              <w:fldChar w:fldCharType="begin"/>
            </w:r>
            <w:r>
              <w:instrText xml:space="preserve"> HYPERLINK "mailto:k.vrakopoulou@thessaly.gov.gr" </w:instrText>
            </w:r>
            <w:r>
              <w:fldChar w:fldCharType="separate"/>
            </w:r>
            <w:r>
              <w:rPr>
                <w:rStyle w:val="4"/>
                <w:rFonts w:cs="Calibri"/>
                <w:i/>
                <w:iCs/>
                <w:sz w:val="18"/>
                <w:szCs w:val="18"/>
                <w:lang w:val="en-US"/>
              </w:rPr>
              <w:t>k</w:t>
            </w:r>
            <w:r>
              <w:rPr>
                <w:rStyle w:val="4"/>
                <w:rFonts w:cs="Calibri"/>
                <w:i/>
                <w:iCs/>
                <w:sz w:val="18"/>
                <w:szCs w:val="18"/>
              </w:rPr>
              <w:t>.</w:t>
            </w:r>
            <w:r>
              <w:rPr>
                <w:rStyle w:val="4"/>
                <w:rFonts w:cs="Calibri"/>
                <w:i/>
                <w:iCs/>
                <w:sz w:val="18"/>
                <w:szCs w:val="18"/>
                <w:lang w:val="en-US"/>
              </w:rPr>
              <w:t>vrakopoulou</w:t>
            </w:r>
            <w:r>
              <w:rPr>
                <w:rStyle w:val="4"/>
                <w:rFonts w:cs="Calibri"/>
                <w:i/>
                <w:iCs/>
                <w:sz w:val="18"/>
                <w:szCs w:val="18"/>
              </w:rPr>
              <w:t>@</w:t>
            </w:r>
            <w:r>
              <w:rPr>
                <w:rStyle w:val="4"/>
                <w:rFonts w:cs="Calibri"/>
                <w:i/>
                <w:iCs/>
                <w:sz w:val="18"/>
                <w:szCs w:val="18"/>
                <w:lang w:val="en-US"/>
              </w:rPr>
              <w:t>thessaly</w:t>
            </w:r>
            <w:r>
              <w:rPr>
                <w:rStyle w:val="4"/>
                <w:rFonts w:cs="Calibri"/>
                <w:i/>
                <w:iCs/>
                <w:sz w:val="18"/>
                <w:szCs w:val="18"/>
              </w:rPr>
              <w:t>.</w:t>
            </w:r>
            <w:r>
              <w:rPr>
                <w:rStyle w:val="4"/>
                <w:rFonts w:cs="Calibri"/>
                <w:i/>
                <w:iCs/>
                <w:sz w:val="18"/>
                <w:szCs w:val="18"/>
                <w:lang w:val="en-US"/>
              </w:rPr>
              <w:t>gov</w:t>
            </w:r>
            <w:r>
              <w:rPr>
                <w:rStyle w:val="4"/>
                <w:rFonts w:cs="Calibri"/>
                <w:i/>
                <w:iCs/>
                <w:sz w:val="18"/>
                <w:szCs w:val="18"/>
              </w:rPr>
              <w:t>.</w:t>
            </w:r>
            <w:r>
              <w:rPr>
                <w:rStyle w:val="4"/>
                <w:rFonts w:cs="Calibri"/>
                <w:i/>
                <w:iCs/>
                <w:sz w:val="18"/>
                <w:szCs w:val="18"/>
                <w:lang w:val="en-US"/>
              </w:rPr>
              <w:t>gr</w:t>
            </w:r>
            <w:r>
              <w:rPr>
                <w:rStyle w:val="4"/>
                <w:rFonts w:cs="Calibri"/>
                <w:i/>
                <w:iCs/>
                <w:sz w:val="18"/>
                <w:szCs w:val="18"/>
                <w:lang w:val="en-US"/>
              </w:rPr>
              <w:fldChar w:fldCharType="end"/>
            </w:r>
            <w:r>
              <w:rPr>
                <w:rFonts w:cs="Calibri"/>
                <w:i/>
                <w:iCs/>
                <w:color w:val="333333"/>
                <w:sz w:val="18"/>
                <w:szCs w:val="18"/>
              </w:rPr>
              <w:t xml:space="preserve"> , 2413506250</w:t>
            </w:r>
          </w:p>
        </w:tc>
      </w:tr>
    </w:tbl>
    <w:p>
      <w:pPr>
        <w:rPr>
          <w:sz w:val="18"/>
          <w:szCs w:val="18"/>
        </w:rPr>
      </w:pPr>
    </w:p>
    <w:p>
      <w:pPr>
        <w:rPr>
          <w:sz w:val="18"/>
          <w:szCs w:val="18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A1"/>
    <w:family w:val="swiss"/>
    <w:pitch w:val="default"/>
    <w:sig w:usb0="E4002EFF" w:usb1="C000247B" w:usb2="00000009" w:usb3="00000000" w:csb0="200001FF" w:csb1="00000000"/>
  </w:font>
  <w:font w:name="ArialMT">
    <w:altName w:val="Times New Roman"/>
    <w:panose1 w:val="00000000000000000000"/>
    <w:charset w:val="A1"/>
    <w:family w:val="auto"/>
    <w:pitch w:val="default"/>
    <w:sig w:usb0="00000000" w:usb1="00000000" w:usb2="00000000" w:usb3="00000000" w:csb0="00000009" w:csb1="00000000"/>
  </w:font>
  <w:font w:name="sans-serif">
    <w:altName w:val="Liberation Mon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595"/>
    <w:rsid w:val="00067C00"/>
    <w:rsid w:val="0009394B"/>
    <w:rsid w:val="00164826"/>
    <w:rsid w:val="002B2138"/>
    <w:rsid w:val="0034244A"/>
    <w:rsid w:val="00484EFF"/>
    <w:rsid w:val="004C4195"/>
    <w:rsid w:val="004D0C14"/>
    <w:rsid w:val="005F3265"/>
    <w:rsid w:val="006502D7"/>
    <w:rsid w:val="0068356D"/>
    <w:rsid w:val="00715571"/>
    <w:rsid w:val="0073238A"/>
    <w:rsid w:val="008B3EE8"/>
    <w:rsid w:val="00944A55"/>
    <w:rsid w:val="00962E39"/>
    <w:rsid w:val="009B6505"/>
    <w:rsid w:val="009F3094"/>
    <w:rsid w:val="00A41E48"/>
    <w:rsid w:val="00A94CCF"/>
    <w:rsid w:val="00AB746A"/>
    <w:rsid w:val="00B369BA"/>
    <w:rsid w:val="00BC5FD8"/>
    <w:rsid w:val="00CC691E"/>
    <w:rsid w:val="00D42368"/>
    <w:rsid w:val="00DA41F5"/>
    <w:rsid w:val="00E719BD"/>
    <w:rsid w:val="00E747F4"/>
    <w:rsid w:val="00E80EEA"/>
    <w:rsid w:val="00F77595"/>
    <w:rsid w:val="3C9F5234"/>
    <w:rsid w:val="468A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el-G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341</Words>
  <Characters>1847</Characters>
  <Lines>15</Lines>
  <Paragraphs>4</Paragraphs>
  <TotalTime>1</TotalTime>
  <ScaleCrop>false</ScaleCrop>
  <LinksUpToDate>false</LinksUpToDate>
  <CharactersWithSpaces>2184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2022-02-04T12:59:00Z</dcterms:created>
  <dc:creator>SUPPORT EDEYE</dc:creator>
  <cp:lastModifiedBy>WPS_1641808210</cp:lastModifiedBy>
  <dcterms:modified xsi:type="dcterms:W3CDTF">2022-02-07T07:25:52Z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40AD684F81FC438C9F07108AF22107D8</vt:lpwstr>
  </property>
</Properties>
</file>